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04CC212" w:rsidR="00F92268" w:rsidRPr="00FF66BF" w:rsidRDefault="00466B5F" w:rsidP="00F246C7">
            <w:pPr>
              <w:pStyle w:val="RefTableHeader"/>
            </w:pPr>
            <w:r>
              <w:t>1639-A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4C53A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99"/>
        </w:sectPr>
      </w:pPr>
    </w:p>
    <w:p w14:paraId="3F4DE49F" w14:textId="52C8A664" w:rsidR="004B15BB" w:rsidRPr="00BD1CC1" w:rsidRDefault="00191824" w:rsidP="007E5C16">
      <w:pPr>
        <w:pStyle w:val="Heading1"/>
      </w:pPr>
      <w:r w:rsidRPr="00191824">
        <w:t>Specialty Guideline Management</w:t>
      </w:r>
      <w:r>
        <w:br/>
      </w:r>
      <w:r w:rsidRPr="00191824">
        <w:t>Kisqali</w:t>
      </w:r>
    </w:p>
    <w:p w14:paraId="78861C92" w14:textId="76A42F7A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2D22AFC0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675591" w:rsidRPr="00675591">
        <w:t>Over-the-counter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BA24D7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BA24D7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1D81E3D7" w:rsidR="00585FFF" w:rsidRPr="00BD1CC1" w:rsidRDefault="00191824" w:rsidP="00BA24D7">
            <w:pPr>
              <w:pStyle w:val="TableDataUnpadded"/>
            </w:pPr>
            <w:r w:rsidRPr="00191824">
              <w:t>Kisqali</w:t>
            </w:r>
          </w:p>
        </w:tc>
        <w:tc>
          <w:tcPr>
            <w:tcW w:w="5595" w:type="dxa"/>
          </w:tcPr>
          <w:p w14:paraId="7E26A004" w14:textId="43695368" w:rsidR="00585FFF" w:rsidRPr="00BD1CC1" w:rsidRDefault="00191824" w:rsidP="00BA24D7">
            <w:pPr>
              <w:pStyle w:val="TableDataUnpadded"/>
            </w:pPr>
            <w:r w:rsidRPr="00191824">
              <w:t>ribociclib</w:t>
            </w:r>
          </w:p>
        </w:tc>
      </w:tr>
    </w:tbl>
    <w:bookmarkEnd w:id="0"/>
    <w:p w14:paraId="14CE6108" w14:textId="13BE63C5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03B2FDB2" w14:textId="115FD128" w:rsidR="00191824" w:rsidRPr="00191824" w:rsidRDefault="00191824" w:rsidP="00191824">
      <w:pPr>
        <w:pStyle w:val="BodyText"/>
      </w:pPr>
      <w:r w:rsidRPr="00191824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A062734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191824" w:rsidRPr="00191824">
        <w:rPr>
          <w:vertAlign w:val="superscript"/>
        </w:rPr>
        <w:t>1</w:t>
      </w:r>
    </w:p>
    <w:p w14:paraId="1DFE5EA3" w14:textId="4E5EF64F" w:rsidR="009B69EA" w:rsidRPr="00E61323" w:rsidRDefault="009B69EA" w:rsidP="00E61323">
      <w:pPr>
        <w:pStyle w:val="BodyText"/>
      </w:pPr>
      <w:bookmarkStart w:id="1" w:name="_Hlk177561761"/>
      <w:r w:rsidRPr="00E61323">
        <w:rPr>
          <w:color w:val="222222"/>
        </w:rPr>
        <w:t>Kisqali is indicated in combination with an aromatase inhibitor for the adjuvant treatment of adults with hormone receptor (HR)-positive, human epidermal growth factor receptor 2 (HER2)-negative stage II and III early breast cancer at high risk of recurrence</w:t>
      </w:r>
      <w:r w:rsidRPr="009B69EA">
        <w:rPr>
          <w:rFonts w:ascii="Arial" w:hAnsi="Arial"/>
          <w:bCs/>
          <w:sz w:val="20"/>
        </w:rPr>
        <w:t>.</w:t>
      </w:r>
    </w:p>
    <w:p w14:paraId="03E46BAC" w14:textId="77777777" w:rsidR="009B69EA" w:rsidRPr="00E61323" w:rsidRDefault="009B69EA" w:rsidP="00E61323">
      <w:pPr>
        <w:pStyle w:val="BodyText"/>
        <w:rPr>
          <w:color w:val="222222"/>
        </w:rPr>
      </w:pPr>
      <w:r w:rsidRPr="00E61323">
        <w:rPr>
          <w:color w:val="222222"/>
        </w:rPr>
        <w:t>Kisqali is indicated for the treatment of adults with HR-positive, HER2-negative advanced or metastatic breast cancer in combination with:</w:t>
      </w:r>
    </w:p>
    <w:p w14:paraId="6D03501E" w14:textId="2D554405" w:rsidR="009B69EA" w:rsidRPr="00E61323" w:rsidRDefault="002073CD" w:rsidP="00E61323">
      <w:pPr>
        <w:pStyle w:val="ListParagraph"/>
        <w:numPr>
          <w:ilvl w:val="0"/>
          <w:numId w:val="31"/>
        </w:numPr>
        <w:contextualSpacing w:val="0"/>
      </w:pPr>
      <w:r>
        <w:t>A</w:t>
      </w:r>
      <w:r w:rsidR="009B69EA" w:rsidRPr="00E61323">
        <w:t>n aromatase inhibitor as initial endocrine-based therapy; or</w:t>
      </w:r>
    </w:p>
    <w:p w14:paraId="3325764D" w14:textId="00E8956B" w:rsidR="009B69EA" w:rsidRPr="00E61323" w:rsidRDefault="002073CD" w:rsidP="00E61323">
      <w:pPr>
        <w:pStyle w:val="ListParagraph"/>
        <w:numPr>
          <w:ilvl w:val="0"/>
          <w:numId w:val="31"/>
        </w:numPr>
        <w:contextualSpacing w:val="0"/>
      </w:pPr>
      <w:proofErr w:type="spellStart"/>
      <w:r>
        <w:t>F</w:t>
      </w:r>
      <w:r w:rsidR="009B69EA" w:rsidRPr="00E61323">
        <w:t>ulvestrant</w:t>
      </w:r>
      <w:proofErr w:type="spellEnd"/>
      <w:r w:rsidR="009B69EA" w:rsidRPr="00E61323">
        <w:t xml:space="preserve"> as initial endocrine-based therapy or following disease progression on endocrine therapy.</w:t>
      </w:r>
    </w:p>
    <w:bookmarkEnd w:id="1"/>
    <w:p w14:paraId="0B5EC236" w14:textId="2D5AA30D" w:rsidR="0044763A" w:rsidRPr="00100B91" w:rsidRDefault="009F2EF1" w:rsidP="0044763A">
      <w:pPr>
        <w:pStyle w:val="Heading3"/>
      </w:pPr>
      <w:r>
        <w:t>Compendial Uses</w:t>
      </w:r>
      <w:r w:rsidR="00734870" w:rsidRPr="00734870">
        <w:rPr>
          <w:vertAlign w:val="superscript"/>
        </w:rPr>
        <w:t>2</w:t>
      </w:r>
    </w:p>
    <w:p w14:paraId="4BD431A9" w14:textId="77777777" w:rsidR="00191824" w:rsidRPr="00204BBD" w:rsidRDefault="00191824" w:rsidP="00204BBD">
      <w:pPr>
        <w:pStyle w:val="ListParagraph"/>
        <w:numPr>
          <w:ilvl w:val="0"/>
          <w:numId w:val="31"/>
        </w:numPr>
        <w:contextualSpacing w:val="0"/>
      </w:pPr>
      <w:r w:rsidRPr="00204BBD">
        <w:t>Breast cancer</w:t>
      </w:r>
    </w:p>
    <w:p w14:paraId="6197F66B" w14:textId="5328E421" w:rsidR="00191824" w:rsidRPr="00204BBD" w:rsidRDefault="00191824" w:rsidP="00204BBD">
      <w:pPr>
        <w:pStyle w:val="ListParagraph"/>
        <w:numPr>
          <w:ilvl w:val="0"/>
          <w:numId w:val="31"/>
        </w:numPr>
        <w:contextualSpacing w:val="0"/>
      </w:pPr>
      <w:r w:rsidRPr="00204BBD">
        <w:lastRenderedPageBreak/>
        <w:t>Endometrial carcinoma</w:t>
      </w:r>
    </w:p>
    <w:p w14:paraId="0D5A9DD5" w14:textId="1DD54FB3" w:rsidR="009A5649" w:rsidRPr="00BD1CC1" w:rsidRDefault="00191824" w:rsidP="00204BBD">
      <w:pPr>
        <w:pStyle w:val="BodyText"/>
        <w:rPr>
          <w:rFonts w:eastAsia="Arial"/>
        </w:rPr>
      </w:pPr>
      <w:r w:rsidRPr="00191824">
        <w:t xml:space="preserve">All other indications are considered </w:t>
      </w:r>
      <w:r w:rsidRPr="00204BBD">
        <w:t>experimental</w:t>
      </w:r>
      <w:r w:rsidRPr="00191824">
        <w:t>/investigational and not medically necessary.</w:t>
      </w:r>
    </w:p>
    <w:p w14:paraId="36381B6D" w14:textId="092DEB70" w:rsidR="000D2496" w:rsidRPr="00BD1CC1" w:rsidRDefault="000D2496" w:rsidP="000D2496">
      <w:pPr>
        <w:pStyle w:val="Heading2"/>
      </w:pPr>
      <w:r w:rsidRPr="00BD1CC1">
        <w:t>Documentation</w:t>
      </w:r>
    </w:p>
    <w:p w14:paraId="3D8A9B20" w14:textId="6EA5F556" w:rsidR="00734870" w:rsidRDefault="00734870" w:rsidP="00204BBD">
      <w:pPr>
        <w:pStyle w:val="BodyText"/>
      </w:pPr>
      <w:r w:rsidRPr="00204BBD">
        <w:t>Submission</w:t>
      </w:r>
      <w:r>
        <w:t xml:space="preserve"> of the following information is necessary to initiate the prior authorization review:</w:t>
      </w:r>
    </w:p>
    <w:p w14:paraId="096DEA21" w14:textId="55079AA7" w:rsidR="00734870" w:rsidRPr="00204BBD" w:rsidRDefault="00734870" w:rsidP="00204BBD">
      <w:pPr>
        <w:pStyle w:val="ListParagraph"/>
        <w:numPr>
          <w:ilvl w:val="0"/>
          <w:numId w:val="32"/>
        </w:numPr>
        <w:contextualSpacing w:val="0"/>
      </w:pPr>
      <w:r w:rsidRPr="00204BBD">
        <w:t>For members requesting initiation of therapy for the treatment of breast cancer: documentation of laboratory results confirming hormone receptor (HR) and human epidermal growth factor receptor 2 (HER2) status</w:t>
      </w:r>
      <w:r w:rsidR="002073CD">
        <w:t>.</w:t>
      </w:r>
    </w:p>
    <w:p w14:paraId="5D4CD6F7" w14:textId="6B6130E9" w:rsidR="00021C51" w:rsidRPr="00204BBD" w:rsidRDefault="00734870" w:rsidP="00204BBD">
      <w:pPr>
        <w:pStyle w:val="ListParagraph"/>
        <w:numPr>
          <w:ilvl w:val="0"/>
          <w:numId w:val="32"/>
        </w:numPr>
        <w:contextualSpacing w:val="0"/>
      </w:pPr>
      <w:r w:rsidRPr="00204BBD">
        <w:t>For members requesting initiation of therapy for the treatment of endometrial carcinoma: documentation of laboratory results confirming estrogen receptor (ER) status</w:t>
      </w:r>
      <w:r w:rsidR="002073CD">
        <w:t>.</w:t>
      </w:r>
    </w:p>
    <w:p w14:paraId="50A38FBA" w14:textId="41ADE6A1" w:rsidR="00FE0C63" w:rsidRPr="00100B91" w:rsidRDefault="00685107" w:rsidP="00E050E1">
      <w:pPr>
        <w:pStyle w:val="Heading2"/>
      </w:pPr>
      <w:r>
        <w:t>Coverage Criteria</w:t>
      </w:r>
    </w:p>
    <w:p w14:paraId="3470A13D" w14:textId="77777777" w:rsidR="00734870" w:rsidRPr="000876DC" w:rsidRDefault="00734870" w:rsidP="000876DC">
      <w:pPr>
        <w:pStyle w:val="Heading3"/>
      </w:pPr>
      <w:r w:rsidRPr="000876DC">
        <w:t>Breast cancer</w:t>
      </w:r>
      <w:r w:rsidRPr="000876DC">
        <w:rPr>
          <w:vertAlign w:val="superscript"/>
        </w:rPr>
        <w:t>1,2</w:t>
      </w:r>
    </w:p>
    <w:p w14:paraId="269C7119" w14:textId="78DFCF48" w:rsidR="00734870" w:rsidRDefault="00734870" w:rsidP="006160D2">
      <w:pPr>
        <w:pStyle w:val="BodyText"/>
      </w:pPr>
      <w:r w:rsidRPr="00734870">
        <w:t>Authorization of 12 months may be granted to members for treatment of HR-positive, HER2-negative recurrent</w:t>
      </w:r>
      <w:r w:rsidR="00F50F9A">
        <w:t xml:space="preserve"> </w:t>
      </w:r>
      <w:r w:rsidRPr="00734870">
        <w:t xml:space="preserve">or metastatic breast cancer when used in combination with an aromatase inhibitor or </w:t>
      </w:r>
      <w:proofErr w:type="spellStart"/>
      <w:r w:rsidRPr="00734870">
        <w:t>fulvestrant</w:t>
      </w:r>
      <w:proofErr w:type="spellEnd"/>
      <w:r w:rsidRPr="00734870">
        <w:t>.</w:t>
      </w:r>
    </w:p>
    <w:p w14:paraId="6CB8CB6B" w14:textId="46DFF2CD" w:rsidR="009B69EA" w:rsidRPr="00734870" w:rsidRDefault="009B69EA" w:rsidP="006160D2">
      <w:pPr>
        <w:pStyle w:val="BodyText"/>
      </w:pPr>
      <w:bookmarkStart w:id="2" w:name="_Hlk177561920"/>
      <w:r w:rsidRPr="00E61323">
        <w:t>Authorization of 12 months may be granted to members for adjuvant treatment of HR-positive, HER2-negative early</w:t>
      </w:r>
      <w:r w:rsidR="00C02602">
        <w:t>-stage</w:t>
      </w:r>
      <w:r w:rsidRPr="00E61323">
        <w:t xml:space="preserve"> breast cancer at high risk of recurrence</w:t>
      </w:r>
      <w:r w:rsidR="00AC2281">
        <w:t xml:space="preserve"> (e.g.,</w:t>
      </w:r>
      <w:r w:rsidR="00AC2281" w:rsidRPr="00C12072">
        <w:t xml:space="preserve"> any lymph node involvement (excluding microscopic nodal involvement), or no nodal involvement </w:t>
      </w:r>
      <w:r w:rsidR="00AC2281">
        <w:t>and</w:t>
      </w:r>
      <w:r w:rsidR="00AC2281" w:rsidRPr="00C12072">
        <w:t xml:space="preserve"> tumor size </w:t>
      </w:r>
      <w:r w:rsidR="00AC2281">
        <w:t xml:space="preserve">greater than </w:t>
      </w:r>
      <w:r w:rsidR="00AC2281" w:rsidRPr="00C12072">
        <w:t>5 cm, or</w:t>
      </w:r>
      <w:r w:rsidR="00AC2281">
        <w:t xml:space="preserve"> tumor </w:t>
      </w:r>
      <w:r w:rsidR="00AC2281" w:rsidRPr="00C12072">
        <w:t xml:space="preserve">size </w:t>
      </w:r>
      <w:r w:rsidR="00AC2281">
        <w:t xml:space="preserve">is </w:t>
      </w:r>
      <w:r w:rsidR="00AC2281" w:rsidRPr="00C12072">
        <w:t>2</w:t>
      </w:r>
      <w:r w:rsidR="00AC2281">
        <w:t xml:space="preserve"> to </w:t>
      </w:r>
      <w:r w:rsidR="00AC2281" w:rsidRPr="00C12072">
        <w:t>5 cm</w:t>
      </w:r>
      <w:r w:rsidR="00AC2281">
        <w:t xml:space="preserve"> and Grade 2 (and high genomic risk or Ki-67 </w:t>
      </w:r>
      <w:r w:rsidR="00AC2281" w:rsidRPr="00C12072">
        <w:t xml:space="preserve">greater than or equal to </w:t>
      </w:r>
      <w:r w:rsidR="00AC2281">
        <w:t>20%) or Grade 3)</w:t>
      </w:r>
      <w:r w:rsidRPr="00E61323">
        <w:t xml:space="preserve"> when used in combination with an aromatase inhibitor.</w:t>
      </w:r>
      <w:bookmarkEnd w:id="2"/>
    </w:p>
    <w:p w14:paraId="5AAB97C2" w14:textId="77777777" w:rsidR="00734870" w:rsidRPr="000876DC" w:rsidRDefault="00734870" w:rsidP="000876DC">
      <w:pPr>
        <w:pStyle w:val="Heading3"/>
      </w:pPr>
      <w:r w:rsidRPr="000876DC">
        <w:t>Endometrial carcinoma</w:t>
      </w:r>
      <w:r w:rsidRPr="000876DC">
        <w:rPr>
          <w:vertAlign w:val="superscript"/>
        </w:rPr>
        <w:t>2</w:t>
      </w:r>
    </w:p>
    <w:p w14:paraId="554B6E8F" w14:textId="6F172AF4" w:rsidR="00B836B0" w:rsidRDefault="00734870" w:rsidP="006160D2">
      <w:pPr>
        <w:pStyle w:val="BodyText"/>
      </w:pPr>
      <w:r w:rsidRPr="006160D2">
        <w:t>Authorization</w:t>
      </w:r>
      <w:r w:rsidRPr="00734870">
        <w:t xml:space="preserve"> of 12 months may be granted to members for treatment of recurrent or metastatic endometrial carcinoma with ER-positive tumors when used in combination with letrozole.</w:t>
      </w:r>
    </w:p>
    <w:p w14:paraId="3A643EC3" w14:textId="3DECBB12" w:rsidR="00A501AC" w:rsidRPr="00BD1CC1" w:rsidRDefault="00A501AC" w:rsidP="00A501AC">
      <w:pPr>
        <w:pStyle w:val="Heading2"/>
      </w:pPr>
      <w:r w:rsidRPr="00BD1CC1">
        <w:t>Continuation of Therapy</w:t>
      </w:r>
    </w:p>
    <w:p w14:paraId="45017024" w14:textId="77777777" w:rsidR="009B69EA" w:rsidRPr="00E61323" w:rsidRDefault="009B69EA" w:rsidP="00E61323">
      <w:pPr>
        <w:pStyle w:val="Heading3"/>
      </w:pPr>
      <w:r w:rsidRPr="00E61323">
        <w:t>Early Breast Cancer</w:t>
      </w:r>
    </w:p>
    <w:p w14:paraId="73BE8013" w14:textId="5A533DC9" w:rsidR="009B69EA" w:rsidRPr="00E61323" w:rsidRDefault="009B69EA" w:rsidP="00E61323">
      <w:pPr>
        <w:pStyle w:val="BodyText"/>
      </w:pPr>
      <w:r w:rsidRPr="00E61323">
        <w:t xml:space="preserve">Authorization of 12 months may be granted for continued treatment in members requesting reauthorization for adjuvant treatment of early-stage, HR-positive, HER2-negative breast cancer with high </w:t>
      </w:r>
      <w:r w:rsidRPr="00E61323">
        <w:lastRenderedPageBreak/>
        <w:t>risk of recurrence until completion of 3 years of treatment or until disease recurrence or unacceptable toxicity while on the current regimen.</w:t>
      </w:r>
    </w:p>
    <w:p w14:paraId="76B50F5C" w14:textId="3B676CE3" w:rsidR="00AA6D44" w:rsidRPr="0062607E" w:rsidRDefault="00AA6D44" w:rsidP="00AA6D44">
      <w:pPr>
        <w:pStyle w:val="Heading3"/>
        <w:rPr>
          <w:bCs w:val="0"/>
        </w:rPr>
      </w:pPr>
      <w:r w:rsidRPr="0062607E">
        <w:t>Recurrent</w:t>
      </w:r>
      <w:r w:rsidR="00F50F9A">
        <w:t xml:space="preserve"> </w:t>
      </w:r>
      <w:r w:rsidRPr="0062607E">
        <w:t>or Metastatic Breast Cancer</w:t>
      </w:r>
      <w:r>
        <w:t xml:space="preserve"> or Endometrial Carcinoma</w:t>
      </w:r>
    </w:p>
    <w:p w14:paraId="1B1B3489" w14:textId="2CA7BB19" w:rsidR="00AA6D44" w:rsidRPr="0062607E" w:rsidRDefault="00AA6D44" w:rsidP="00AA6D44">
      <w:pPr>
        <w:pStyle w:val="BodyText"/>
      </w:pPr>
      <w:r w:rsidRPr="0062607E">
        <w:t>Authorization of 12 months may be granted for continued treatment in members requesting reauthorization for recurrent</w:t>
      </w:r>
      <w:r w:rsidR="00F50F9A">
        <w:t xml:space="preserve"> </w:t>
      </w:r>
      <w:r w:rsidRPr="0062607E">
        <w:t xml:space="preserve">or metastatic breast cancer </w:t>
      </w:r>
      <w:r>
        <w:t xml:space="preserve">or endometrial carcinoma </w:t>
      </w:r>
      <w:r w:rsidRPr="0062607E">
        <w:t>when there is no evidence of unacceptable toxicity or disease progression while on the current regimen.</w:t>
      </w:r>
    </w:p>
    <w:p w14:paraId="10DA4309" w14:textId="3DD17524" w:rsidR="00FF66BF" w:rsidRPr="008D1B34" w:rsidRDefault="00FF66BF" w:rsidP="00FF66BF">
      <w:pPr>
        <w:pStyle w:val="Heading2"/>
      </w:pPr>
      <w:r w:rsidRPr="008D1B34">
        <w:t>References</w:t>
      </w:r>
    </w:p>
    <w:p w14:paraId="2B36D8D3" w14:textId="15DD9261" w:rsidR="00734870" w:rsidRDefault="00734870" w:rsidP="00734870">
      <w:pPr>
        <w:pStyle w:val="ReferenceOrdered"/>
      </w:pPr>
      <w:r>
        <w:t xml:space="preserve">Kisqali [package insert]. East Hanover, NJ: Novartis Pharmaceuticals Corporation; </w:t>
      </w:r>
      <w:r w:rsidR="009B69EA">
        <w:t>September 2024</w:t>
      </w:r>
      <w:r>
        <w:t>.</w:t>
      </w:r>
    </w:p>
    <w:p w14:paraId="16D95102" w14:textId="28089EB9" w:rsidR="000767AE" w:rsidRDefault="00734870" w:rsidP="00734870">
      <w:pPr>
        <w:pStyle w:val="ReferenceOrdered"/>
      </w:pPr>
      <w:r>
        <w:t xml:space="preserve">The NCCN Drugs &amp; Biologics Compendium® © </w:t>
      </w:r>
      <w:r w:rsidR="00C02602">
        <w:t xml:space="preserve">2025 </w:t>
      </w:r>
      <w:r>
        <w:t xml:space="preserve">National Comprehensive Cancer Network, Inc. Available at: http://www.nccn.org. Accessed </w:t>
      </w:r>
      <w:r w:rsidR="00C02602">
        <w:t>July 21</w:t>
      </w:r>
      <w:r>
        <w:t xml:space="preserve">, </w:t>
      </w:r>
      <w:r w:rsidR="006A2AE5">
        <w:t>202</w:t>
      </w:r>
      <w:r w:rsidR="00C02602">
        <w:t>5</w:t>
      </w:r>
      <w:r w:rsidR="00BE0BEE">
        <w:t>.</w:t>
      </w:r>
    </w:p>
    <w:sectPr w:rsidR="000767AE" w:rsidSect="009F6F5C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524FE" w14:textId="77777777" w:rsidR="007328D6" w:rsidRDefault="007328D6">
      <w:r>
        <w:separator/>
      </w:r>
    </w:p>
  </w:endnote>
  <w:endnote w:type="continuationSeparator" w:id="0">
    <w:p w14:paraId="5B96F1C2" w14:textId="77777777" w:rsidR="007328D6" w:rsidRDefault="007328D6">
      <w:r>
        <w:continuationSeparator/>
      </w:r>
    </w:p>
  </w:endnote>
  <w:endnote w:type="continuationNotice" w:id="1">
    <w:p w14:paraId="5C6417BB" w14:textId="77777777" w:rsidR="007328D6" w:rsidRDefault="007328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11F7DBE2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A24D7" w:rsidRPr="00BA24D7">
      <w:rPr>
        <w:rFonts w:cs="Arial"/>
        <w:noProof/>
        <w:sz w:val="16"/>
        <w:szCs w:val="16"/>
      </w:rPr>
      <w:t>Kisqali</w:t>
    </w:r>
    <w:r w:rsidR="00BA24D7">
      <w:rPr>
        <w:rFonts w:cs="Arial"/>
        <w:noProof/>
        <w:snapToGrid w:val="0"/>
        <w:color w:val="000000"/>
        <w:sz w:val="16"/>
        <w:szCs w:val="16"/>
      </w:rPr>
      <w:t xml:space="preserve"> SGM 1639-A</w:t>
    </w:r>
    <w:r w:rsidR="00BA24D7" w:rsidRPr="00BA24D7">
      <w:rPr>
        <w:rFonts w:cs="Arial"/>
        <w:noProof/>
        <w:sz w:val="16"/>
        <w:szCs w:val="16"/>
      </w:rPr>
      <w:t xml:space="preserve">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6A2AE5" w:rsidRPr="00EC47B6">
      <w:rPr>
        <w:rFonts w:cs="Arial"/>
        <w:snapToGrid w:val="0"/>
        <w:color w:val="000000"/>
        <w:sz w:val="16"/>
      </w:rPr>
      <w:t>202</w:t>
    </w:r>
    <w:r w:rsidR="006A2AE5">
      <w:rPr>
        <w:rFonts w:cs="Arial"/>
        <w:snapToGrid w:val="0"/>
        <w:color w:val="000000"/>
        <w:sz w:val="16"/>
      </w:rPr>
      <w:t>5</w:t>
    </w:r>
    <w:r w:rsidR="006A2AE5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61CF5924" w14:textId="1D5ED19B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3CA13084" w:rsidR="00F75C81" w:rsidRPr="00AA1E6A" w:rsidRDefault="00C36B72" w:rsidP="00E071A5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415BC3E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A24D7" w:rsidRPr="00BA24D7">
      <w:rPr>
        <w:rFonts w:cs="Arial"/>
        <w:noProof/>
        <w:sz w:val="16"/>
        <w:szCs w:val="16"/>
      </w:rPr>
      <w:t>Kisqali</w:t>
    </w:r>
    <w:r w:rsidR="00BA24D7">
      <w:rPr>
        <w:rFonts w:cs="Arial"/>
        <w:noProof/>
        <w:snapToGrid w:val="0"/>
        <w:color w:val="000000"/>
        <w:sz w:val="16"/>
        <w:szCs w:val="16"/>
      </w:rPr>
      <w:t xml:space="preserve"> SGM 1639-A</w:t>
    </w:r>
    <w:r w:rsidR="00BA24D7" w:rsidRPr="00BA24D7">
      <w:rPr>
        <w:rFonts w:cs="Arial"/>
        <w:noProof/>
        <w:sz w:val="16"/>
        <w:szCs w:val="16"/>
      </w:rPr>
      <w:t xml:space="preserve">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6A2AE5" w:rsidRPr="00EC47B6">
      <w:rPr>
        <w:rFonts w:cs="Arial"/>
        <w:snapToGrid w:val="0"/>
        <w:color w:val="000000"/>
        <w:sz w:val="16"/>
      </w:rPr>
      <w:t>202</w:t>
    </w:r>
    <w:r w:rsidR="006A2AE5">
      <w:rPr>
        <w:rFonts w:cs="Arial"/>
        <w:snapToGrid w:val="0"/>
        <w:color w:val="000000"/>
        <w:sz w:val="16"/>
      </w:rPr>
      <w:t>5</w:t>
    </w:r>
    <w:r w:rsidR="006A2AE5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39BFE579" w14:textId="599BF216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4506E0B7" w:rsidR="00ED04EC" w:rsidRPr="00F50D98" w:rsidRDefault="00F50D98" w:rsidP="004C53A6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9C031" w14:textId="77777777" w:rsidR="007328D6" w:rsidRDefault="007328D6">
      <w:r>
        <w:separator/>
      </w:r>
    </w:p>
  </w:footnote>
  <w:footnote w:type="continuationSeparator" w:id="0">
    <w:p w14:paraId="31AE5AF9" w14:textId="77777777" w:rsidR="007328D6" w:rsidRDefault="007328D6">
      <w:r>
        <w:continuationSeparator/>
      </w:r>
    </w:p>
  </w:footnote>
  <w:footnote w:type="continuationNotice" w:id="1">
    <w:p w14:paraId="4CE4784D" w14:textId="77777777" w:rsidR="007328D6" w:rsidRDefault="007328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A312F5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532807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 w:rsidTr="00A312F5">
      <w:trPr>
        <w:trHeight w:val="378"/>
        <w:jc w:val="right"/>
      </w:trPr>
      <w:tc>
        <w:tcPr>
          <w:tcW w:w="1854" w:type="dxa"/>
          <w:hideMark/>
        </w:tcPr>
        <w:p w14:paraId="51CE3E64" w14:textId="1C712023" w:rsidR="00ED04EC" w:rsidRPr="004C7F1D" w:rsidRDefault="00466B5F" w:rsidP="00532807">
          <w:pPr>
            <w:pStyle w:val="RefTableData"/>
          </w:pPr>
          <w:r>
            <w:t>1639-A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A2DC8"/>
    <w:multiLevelType w:val="hybridMultilevel"/>
    <w:tmpl w:val="FF1C9B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7D38E8"/>
    <w:multiLevelType w:val="hybridMultilevel"/>
    <w:tmpl w:val="BC385A04"/>
    <w:lvl w:ilvl="0" w:tplc="6A2A49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D154D"/>
    <w:multiLevelType w:val="hybridMultilevel"/>
    <w:tmpl w:val="D30AC5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385013"/>
    <w:multiLevelType w:val="hybridMultilevel"/>
    <w:tmpl w:val="8444B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B410DE"/>
    <w:multiLevelType w:val="hybridMultilevel"/>
    <w:tmpl w:val="B27A8EFA"/>
    <w:lvl w:ilvl="0" w:tplc="10EA5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0077CD"/>
    <w:multiLevelType w:val="hybridMultilevel"/>
    <w:tmpl w:val="560A3FEE"/>
    <w:lvl w:ilvl="0" w:tplc="CCB0F7B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7836A7"/>
    <w:multiLevelType w:val="hybridMultilevel"/>
    <w:tmpl w:val="B7944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303750"/>
    <w:multiLevelType w:val="hybridMultilevel"/>
    <w:tmpl w:val="666C9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4354E8"/>
    <w:multiLevelType w:val="hybridMultilevel"/>
    <w:tmpl w:val="FF90E394"/>
    <w:lvl w:ilvl="0" w:tplc="F022CB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540" w:hanging="360"/>
      </w:pPr>
    </w:lvl>
    <w:lvl w:ilvl="2" w:tplc="0409001B" w:tentative="1">
      <w:start w:val="1"/>
      <w:numFmt w:val="lowerRoman"/>
      <w:lvlText w:val="%3."/>
      <w:lvlJc w:val="right"/>
      <w:pPr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ind w:left="900" w:hanging="360"/>
      </w:pPr>
    </w:lvl>
    <w:lvl w:ilvl="4" w:tplc="04090019" w:tentative="1">
      <w:start w:val="1"/>
      <w:numFmt w:val="lowerLetter"/>
      <w:lvlText w:val="%5."/>
      <w:lvlJc w:val="left"/>
      <w:pPr>
        <w:ind w:left="1620" w:hanging="360"/>
      </w:pPr>
    </w:lvl>
    <w:lvl w:ilvl="5" w:tplc="0409001B" w:tentative="1">
      <w:start w:val="1"/>
      <w:numFmt w:val="lowerRoman"/>
      <w:lvlText w:val="%6."/>
      <w:lvlJc w:val="right"/>
      <w:pPr>
        <w:ind w:left="2340" w:hanging="180"/>
      </w:pPr>
    </w:lvl>
    <w:lvl w:ilvl="6" w:tplc="0409000F" w:tentative="1">
      <w:start w:val="1"/>
      <w:numFmt w:val="decimal"/>
      <w:lvlText w:val="%7."/>
      <w:lvlJc w:val="left"/>
      <w:pPr>
        <w:ind w:left="3060" w:hanging="360"/>
      </w:pPr>
    </w:lvl>
    <w:lvl w:ilvl="7" w:tplc="04090019" w:tentative="1">
      <w:start w:val="1"/>
      <w:numFmt w:val="lowerLetter"/>
      <w:lvlText w:val="%8."/>
      <w:lvlJc w:val="left"/>
      <w:pPr>
        <w:ind w:left="3780" w:hanging="360"/>
      </w:pPr>
    </w:lvl>
    <w:lvl w:ilvl="8" w:tplc="0409001B" w:tentative="1">
      <w:start w:val="1"/>
      <w:numFmt w:val="lowerRoman"/>
      <w:lvlText w:val="%9."/>
      <w:lvlJc w:val="right"/>
      <w:pPr>
        <w:ind w:left="4500" w:hanging="180"/>
      </w:pPr>
    </w:lvl>
  </w:abstractNum>
  <w:num w:numId="1" w16cid:durableId="1264921869">
    <w:abstractNumId w:val="12"/>
  </w:num>
  <w:num w:numId="2" w16cid:durableId="606935877">
    <w:abstractNumId w:val="30"/>
  </w:num>
  <w:num w:numId="3" w16cid:durableId="611589570">
    <w:abstractNumId w:val="23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9"/>
  </w:num>
  <w:num w:numId="17" w16cid:durableId="2128498676">
    <w:abstractNumId w:val="33"/>
  </w:num>
  <w:num w:numId="18" w16cid:durableId="299724409">
    <w:abstractNumId w:val="25"/>
  </w:num>
  <w:num w:numId="19" w16cid:durableId="214585573">
    <w:abstractNumId w:val="14"/>
  </w:num>
  <w:num w:numId="20" w16cid:durableId="1289816170">
    <w:abstractNumId w:val="16"/>
  </w:num>
  <w:num w:numId="21" w16cid:durableId="1066490929">
    <w:abstractNumId w:val="34"/>
  </w:num>
  <w:num w:numId="22" w16cid:durableId="1472481103">
    <w:abstractNumId w:val="28"/>
  </w:num>
  <w:num w:numId="23" w16cid:durableId="1997420403">
    <w:abstractNumId w:val="31"/>
  </w:num>
  <w:num w:numId="24" w16cid:durableId="33312838">
    <w:abstractNumId w:val="26"/>
  </w:num>
  <w:num w:numId="25" w16cid:durableId="507404939">
    <w:abstractNumId w:val="18"/>
  </w:num>
  <w:num w:numId="26" w16cid:durableId="1950313333">
    <w:abstractNumId w:val="22"/>
  </w:num>
  <w:num w:numId="27" w16cid:durableId="1866016584">
    <w:abstractNumId w:val="20"/>
  </w:num>
  <w:num w:numId="28" w16cid:durableId="2109305567">
    <w:abstractNumId w:val="17"/>
  </w:num>
  <w:num w:numId="29" w16cid:durableId="2030139716">
    <w:abstractNumId w:val="11"/>
  </w:num>
  <w:num w:numId="30" w16cid:durableId="1462648868">
    <w:abstractNumId w:val="32"/>
  </w:num>
  <w:num w:numId="31" w16cid:durableId="2042171304">
    <w:abstractNumId w:val="29"/>
  </w:num>
  <w:num w:numId="32" w16cid:durableId="565530984">
    <w:abstractNumId w:val="21"/>
  </w:num>
  <w:num w:numId="33" w16cid:durableId="342631178">
    <w:abstractNumId w:val="24"/>
  </w:num>
  <w:num w:numId="34" w16cid:durableId="1774979427">
    <w:abstractNumId w:val="27"/>
  </w:num>
  <w:num w:numId="35" w16cid:durableId="744573633">
    <w:abstractNumId w:val="34"/>
  </w:num>
  <w:num w:numId="36" w16cid:durableId="503394466">
    <w:abstractNumId w:val="15"/>
  </w:num>
  <w:num w:numId="37" w16cid:durableId="1417626899">
    <w:abstractNumId w:val="3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6BB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6DC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5AAF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2A9A"/>
    <w:rsid w:val="0014405C"/>
    <w:rsid w:val="0014413C"/>
    <w:rsid w:val="00144795"/>
    <w:rsid w:val="001448D4"/>
    <w:rsid w:val="00144B23"/>
    <w:rsid w:val="00144BEB"/>
    <w:rsid w:val="00145A96"/>
    <w:rsid w:val="00146C1A"/>
    <w:rsid w:val="001471E2"/>
    <w:rsid w:val="00150AFC"/>
    <w:rsid w:val="00151DA8"/>
    <w:rsid w:val="00152135"/>
    <w:rsid w:val="001522C7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824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16FB"/>
    <w:rsid w:val="001E3B8D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BBD"/>
    <w:rsid w:val="00204EAC"/>
    <w:rsid w:val="002063D0"/>
    <w:rsid w:val="00206414"/>
    <w:rsid w:val="0020721A"/>
    <w:rsid w:val="002073CD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3F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6AB5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5FF9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4F1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6B68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123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3C4A"/>
    <w:rsid w:val="00374540"/>
    <w:rsid w:val="003753D0"/>
    <w:rsid w:val="003756FF"/>
    <w:rsid w:val="0037580F"/>
    <w:rsid w:val="0037664E"/>
    <w:rsid w:val="003777A6"/>
    <w:rsid w:val="00377B69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EEF"/>
    <w:rsid w:val="003A0693"/>
    <w:rsid w:val="003A2056"/>
    <w:rsid w:val="003A4B3A"/>
    <w:rsid w:val="003A5707"/>
    <w:rsid w:val="003A6459"/>
    <w:rsid w:val="003A7860"/>
    <w:rsid w:val="003A7949"/>
    <w:rsid w:val="003A796A"/>
    <w:rsid w:val="003B002B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634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6B5F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A6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5CE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B16"/>
    <w:rsid w:val="00524C37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807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3DD5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1BC0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3C0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AAB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0D2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591"/>
    <w:rsid w:val="00675C7A"/>
    <w:rsid w:val="00675EC3"/>
    <w:rsid w:val="00676116"/>
    <w:rsid w:val="00677141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AE5"/>
    <w:rsid w:val="006A2EC3"/>
    <w:rsid w:val="006A37C9"/>
    <w:rsid w:val="006A3CFD"/>
    <w:rsid w:val="006A3F40"/>
    <w:rsid w:val="006A790B"/>
    <w:rsid w:val="006A7B7D"/>
    <w:rsid w:val="006B01F7"/>
    <w:rsid w:val="006B2159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8D6"/>
    <w:rsid w:val="00732B93"/>
    <w:rsid w:val="0073324D"/>
    <w:rsid w:val="0073362E"/>
    <w:rsid w:val="00734870"/>
    <w:rsid w:val="00734A74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4E8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9C5"/>
    <w:rsid w:val="007E2C35"/>
    <w:rsid w:val="007E4106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793"/>
    <w:rsid w:val="0082395F"/>
    <w:rsid w:val="00823B22"/>
    <w:rsid w:val="00824FA8"/>
    <w:rsid w:val="008254BC"/>
    <w:rsid w:val="0082643D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72E1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51D2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011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322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60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1BB7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69EA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974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6F5C"/>
    <w:rsid w:val="009F7DB4"/>
    <w:rsid w:val="009F7EA7"/>
    <w:rsid w:val="00A000EF"/>
    <w:rsid w:val="00A00395"/>
    <w:rsid w:val="00A0072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12F5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230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3261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D4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281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693E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CC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0DCB"/>
    <w:rsid w:val="00BA11F3"/>
    <w:rsid w:val="00BA185E"/>
    <w:rsid w:val="00BA2050"/>
    <w:rsid w:val="00BA20D0"/>
    <w:rsid w:val="00BA24D7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05B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0BEE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123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602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842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6FA5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271C2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49F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397"/>
    <w:rsid w:val="00DB4476"/>
    <w:rsid w:val="00DB45FA"/>
    <w:rsid w:val="00DB5750"/>
    <w:rsid w:val="00DB5FB0"/>
    <w:rsid w:val="00DB6293"/>
    <w:rsid w:val="00DB6413"/>
    <w:rsid w:val="00DB657E"/>
    <w:rsid w:val="00DB7560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556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1A5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099D"/>
    <w:rsid w:val="00E40DB3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323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6B48"/>
    <w:rsid w:val="00EA706A"/>
    <w:rsid w:val="00EA72E4"/>
    <w:rsid w:val="00EB0299"/>
    <w:rsid w:val="00EB199D"/>
    <w:rsid w:val="00EB1F77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451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8F0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0F9A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834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28B"/>
    <w:rsid w:val="00F933A0"/>
    <w:rsid w:val="00F9341B"/>
    <w:rsid w:val="00F93676"/>
    <w:rsid w:val="00F93AC8"/>
    <w:rsid w:val="00F9431A"/>
    <w:rsid w:val="00F95419"/>
    <w:rsid w:val="00F963B6"/>
    <w:rsid w:val="00F96972"/>
    <w:rsid w:val="00F96FC9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54B"/>
    <w:rsid w:val="00FB3DAE"/>
    <w:rsid w:val="00FB45CA"/>
    <w:rsid w:val="00FB5072"/>
    <w:rsid w:val="00FB52BF"/>
    <w:rsid w:val="00FB54E3"/>
    <w:rsid w:val="00FB59E2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2E88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1E4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docId w15:val="{2134D55B-B1CF-4E9D-BA50-03AA69BF6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uiPriority w:val="99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51DA8"/>
  </w:style>
  <w:style w:type="character" w:customStyle="1" w:styleId="CommentTextChar">
    <w:name w:val="Comment Text Char"/>
    <w:basedOn w:val="DefaultParagraphFont"/>
    <w:link w:val="CommentText"/>
    <w:uiPriority w:val="99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E0D8B0-9957-4AC6-85B9-D577A7634F3F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openxmlformats.org/package/2006/metadata/core-properties"/>
    <ds:schemaRef ds:uri="eb403b6b-7b96-4fe7-afcc-b3d44ddfb7d8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sharepoint/v4"/>
    <ds:schemaRef ds:uri="http://purl.org/dc/elements/1.1/"/>
    <ds:schemaRef ds:uri="http://schemas.microsoft.com/office/2006/metadata/properties"/>
    <ds:schemaRef ds:uri="7757c461-07c7-44e1-99a5-77c6cc8be59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512</Words>
  <Characters>3187</Characters>
  <Application>Microsoft Office Word</Application>
  <DocSecurity>0</DocSecurity>
  <Lines>66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Kisqali SGM 1639-A</vt:lpstr>
    </vt:vector>
  </TitlesOfParts>
  <Company>PCS Health Systems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Kisqali SGM 1639-A</dc:title>
  <dc:subject/>
  <dc:creator>CVS Caremark</dc:creator>
  <cp:keywords/>
  <dc:description/>
  <cp:lastModifiedBy>Huerta, Linda M</cp:lastModifiedBy>
  <cp:revision>4</cp:revision>
  <cp:lastPrinted>2018-01-09T07:01:00Z</cp:lastPrinted>
  <dcterms:created xsi:type="dcterms:W3CDTF">2025-08-07T14:36:00Z</dcterms:created>
  <dcterms:modified xsi:type="dcterms:W3CDTF">2025-08-08T15:18:00Z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8185200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